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25SM0013P</RECORD_ID>
  <DESCR>MATERIAL FUNGIBLE PER A TRAQUEOSTOMIA I INTUBACIÓ</DESCR>
  <SUPPLIER>
    <CORPORATENAME/>
    <ADDRESS/>
    <TOWN/>
    <POSTCODE/>
    <TAXIDENTIFICATION/>
    <TELEPHONE/>
    <TELEFAX/>
    <EMAIL/>
  </SUPPLIER>
  <BATCHES>
    <BATCH>
      <BATCHID>TC01</BATCHID>
      <DESCR>CÀNULA DE TRAQUEOSTOMIA</DESCR>
      <MATERIALS>
        <MATERIAL>
          <MATNR>10003</MATNR>
          <MAKTX>CAMISAS INTERNAS FENESTRADAS DE RECAMBIO PARA LAS CÁNULAS DE TRAQUEOSTOMÍA OFRECIDAS EN ESTE LOTE. 
FABRICADAS EN PVC O SIMILAR. 
FENESTRACIÓN DIVIDIDA EN CUATRO.
CAMISAS DE DISTINTAS MEDIDAS DE DIÁMETRO INTERNO Y LONGITUD, QUE SE ADAPTEN A LAS CÁNULAS DE ESTE MISMO LOTE. 
DESECHABLES. 
ENVASE INDIVIDUAL. 
SIN LÁTEX. 
ESTÉRILES</MAKTX>
          <QUANTITY>299</QUANTITY>
          <UNIT>unidad</UNIT>
          <REFERENCE/>
          <PACKAGING_UNITS/>
          <TRADEMARK/>
          <NAME/>
          <TECHTEXT> </TECHTEXT>
        </MATERIAL>
        <MATERIAL>
          <MATNR>10004</MATNR>
          <MAKTX>CÁNULAS DE TRAQUEOSTOMÍA FABRICADAS EN PVC TERMOSENSIBLE Y RADIOPACO. UNAS SIN BALÓN, Y OTRAS CON BALÓN DE GRAN VOLUMEN Y BAJA PRESIÓN.
UNAS FENESTRADAS Y OTRAS SIN FENESTRAR. 
PLACA DEL CUELLO FLEXIBLE Y ADAPTABLE, QUE SEA PIVOTANTE. 
DIÁMETROS INTERNOS DE DISTINTAS MEDIDAS, DESDE MÍNIMO 4 MM HASTA 10 MM, CON UN MÍNIMO DE DOS MEDIDAS INTERMEDIAS. 
SIN LÁTEX. 
ESTÉRILES.
CÁNULAS DE LOS SIGUIENTES TIPOS:
A) FENESTRADA CON BALÓN (REDONDO O CÓNICO; PREFERIBLEMENTE CÓNICO): FENESTRACIÓN DIVIDIDA EN 4 (MÁXIMO EN 6), MÍNIMO 1 CÁNULA INTERNA DESECHABLE.
B) FENESTRADA SIN BALÓN: FENESTRACIÓN DIVIDIDA EN 4 (MÁXIMO EN 6), MÍNIMO 1 CÁNULA INTERNA DESECHABLE.
C) NO FENESTRADA CON BALÓN (CÓNICO): MÍNIMO 1 CÁNULA INTERNA REUTILIZABLE
D) NO FENESTRADA SIN BALÓN: MÍNIMO 1 CÁNULA INTERNA REUTILIZABLE</MAKTX>
          <QUANTITY>837</QUANTITY>
          <UNIT/>
          <REFERENCE/>
          <PACKAGING_UNITS/>
          <TRADEMARK/>
          <NAME/>
          <TECHTEXT> </TECHTEXT>
        </MATERIAL>
        <MATERIAL>
          <MATNR>11453</MATNR>
          <MAKTX>CÁNULAS DE TRAQUEOSTOMÍA EXTRALARGAS Y FLEXIBLES, CON EXTENSIÓN DISTAL Y PROXIMAL,CON BALÓN DE GRAN VOLUMEN Y BAJA PRESIÓN. 
MÍNIMO UNA CÁNULA INTERNA DESECHABLE. 
LINEA RADIOPACA EN TODA SU LONGITUD. 
CONECTOR CON CIERRE DE SEGURIDAD. 
FABRICADAS EN PVC. 
PLACA DE CUELLO FLEXIBLE. 
SIN LÁTEX. 
ESTÉRILES. 
MEDIDAS DE DIÁMETRO INTERNO DE LAS CÁNULAS: 6 MM, 7 MM Y 8 MM.
CÁNULAS DE LOS SIGUIENTES TIPOS:
a) PROXIMAL CON BALÓN
b) DISTAL CON BALÓ</MAKTX>
          <QUANTITY>44</QUANTITY>
          <UNIT/>
          <REFERENCE/>
          <PACKAGING_UNITS/>
          <TRADEMARK/>
          <NAME/>
          <TECHTEXT> </TECHTEXT>
        </MATERIAL>
        <MATERIAL>
          <MATNR>11459</MATNR>
          <MAKTX>CAMISAS INTERNAS PARA CÁNULAS DE TRAQUESOTOMÍA EXTRALARGAS FABRICADAS EN PVC O SIMILAR. 
CONECTOR CON CIERRE DE SEGURIDAD.
CAMISAS DE DIFERENTES MEDIDAS QUE SE ADAPTEN A LAS MEDIDAS DE LAS CÁNULAS DE ESTE MISMO LOTE: 6 MM, 7 MM Y 8 MM.</MAKTX>
          <QUANTITY>20</QUANTITY>
          <UNIT/>
          <REFERENCE/>
          <PACKAGING_UNITS/>
          <TRADEMARK/>
          <NAME/>
          <TECHTEXT> </TECHTEXT>
        </MATERIAL>
      </MATERIALS>
    </BATCH>
    <BATCH>
      <BATCHID>TC02</BATCHID>
      <DESCR>TUB ENDOTRAQUEAL AMB BALÓ BAIXA PRESSIÓ</DESCR>
      <MATERIALS>
        <MATERIAL>
          <MATNR>10772</MATNR>
          <MAKTX>TUBOS OROTRAQUEALES CON OJO DE MURPHY COMO SISTEMA DE SEGURIDAD.
CONECTOR 15 MM.
CONEXIÓN SEMIMONTADA. 
LÍNEA RADIOPACA LONGITUDINAL CENTIMETRADA Y MARCASDE PROFUNDIDAD VISIBLES A COMISURA LABIAL. 
CON BALÓN DE BAJA PRESIÓN Y ALTO VOLUMEN. 
DIÁMETRO NOMINAL VARIABLE SEGÚN DIÁMETRO INTERNO DEL TUBO.
FABICADO EN PVC O POLIURETANO. 
TERMOSENSIBLE Y TRANSPARENTE. 
DE UN SOLO USO.
ESTÉRIL. 
LIBRE DE LÁTEX. 
TUBOS CON DISTINTAS MEDIDAS DEL DIÁMETRO INTERNO.
MEDIDAS DIÁMETRO INTERNO EN MM: 3,5; 4; 4,5; 5; 5,5; 6; 6,5; 7; 7,5; 8;
8,5; 9</MAKTX>
          <QUANTITY>5.542</QUANTITY>
          <UNIT>unidad</UNIT>
          <REFERENCE/>
          <PACKAGING_UNITS/>
          <TRADEMARK/>
          <NAME/>
          <TECHTEXT> </TECHTEXT>
        </MATERIAL>
      </MATERIALS>
    </BATCH>
    <BATCH>
      <BATCHID>TC07</BATCHID>
      <DESCR>TUB ENDOTRAQUEAL ANELLAT</DESCR>
      <MATERIALS>
        <MATERIAL>
          <MATNR>10013</MATNR>
          <MAKTX>TUBOS ENDOTRAQUEALES REFORZADOS CON ESPIRAL METÁLICA EN SU INTERIOR. 
OJO DE MURPHY. 
CON FIADOR METÁLICO EN SU INTERIOR.
BALÓN DE GRAN VOLUMEN, BAJA PRESIÓN; DIÁMETRO NOMINAL VARIABLE SEGÚN DIÁMETRO INTERNO DEL TUBO. 
CONECTOR ESTÁNDAR FIJO DE 15 MM. 
CONEXIÓN SEMIMONTADA. 
MARCAS DE PROFUNDIDAD CENTIMETRADAS A LO LARGO DEL TUBO Y VISIBLES A COMISURA LABIAL. 
VÁLVULA INFLADO ANTIRRETORNO. 
UTILIZACIÓN ORAL Y NASAL. 
FABRICADO EN PVC O POLIURETANO. 
TRANSPARENTE Y TERMOSELLABLE. 
UN SOLO USO. 
ESTÉRIL. 
LIBRE DE LÁTEX. 
TUBOS DE DISTINTOS DIÁMETROS INTERNOS.
MEDIDAS DIÁMETROS INTERNOS EN MM: 3,5; 4; 4,5; 5; 5,5; 6; 6,5; 7; 7,5; 8; 8,5; 9</MAKTX>
          <QUANTITY>957</QUANTITY>
          <UNIT>unidad</UNIT>
          <REFERENCE/>
          <PACKAGING_UNITS/>
          <TRADEMARK/>
          <NAME/>
          <TECHTEXT> </TECHTEXT>
        </MATERIAL>
      </MATERIALS>
    </BATCH>
    <BATCH>
      <BATCHID>TC11</BATCHID>
      <DESCR>SET TRAQUEOTOMIA</DESCR>
      <MATERIALS>
        <MATERIAL>
          <MATNR>100000429</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9,0MM. 
- BISTURÍ 
- AGUJA 14G. 
- CÁNULA 
- JERINGA DE 10CC. 
- GUÍA METÁLICA 55CM DE TEFLÓN Y ACERO INOXIDABLE LUBRICADO. 
- DILATADOR CORTO 
- INTRODUCTOR 
- DILATADOR ÚNICO PRELUBRICADO. 
- LONGITUD APROX 20CM. DIÁMETRO PUNTA DISTAL 4MM APROX Y 14MM APROX. EN PUNTA PROXIMAL. 
- CON MARCAS DE PROFUNDIDAD O SISTEMAS QUE GUIEN LA ENTRADA DE FORMA SEGURA.
- CATÉTER GUÍA 
- DILATADOR PARA LA CÁNULA 
- GELATINA LUBRICANTE ESTÉRIL 
- TORUNDAS 
- CINTA DE SUJECIÓN Y CEPILLO DE LIMPIEZA. 
- ESTÉRIL. 
- EXENTO DE LÁTEX.</MAKTX>
          <QUANTITY>34</QUANTITY>
          <UNIT>unidad</UNIT>
          <REFERENCE/>
          <PACKAGING_UNITS/>
          <TRADEMARK/>
          <NAME/>
          <TECHTEXT> </TECHTEXT>
        </MATERIAL>
        <MATERIAL>
          <MATNR>100002286</MATNR>
          <MAKTX>SET TRAQUEOTOMÍA PERCUTÁNEA CON DILATADOR ÚNICO. COMPUESTO POR: 
- CÁNULA DE TRAQUEOTOMÍA DE PVC TERMOSENSIBLE CON LUMEN ADICIONAL HASTA ENCIMA DE BALÓN PARA SUCCIÓN DE SECRECIONES SUBGLÓTICAS + 2 CÁNULAS INTERNAS DE POLIETILENO DE BAJA DENSIDAD Y DIÁMETRO INTERNO 8,0MM. 
- BISTURÍ 
- AGUJA 14G. 
- CÁNULA 
- JERINGA DE 10CC. 
- GUÍA METÁLICA 55CM DE TEFLÓN Y ACERO INOXIDABLE LUBRICADO. 
- DILATADOR CORTO DE 14FR. 
- INTRODUCTOR 
- DILATADOR ÚNICO PRELUBRICADO. 20CM LONGITUD. DIÁMETRO 4MM PUNTA DISTAL Y 14MM EN PUNTA PROXIMAL. 
- CON MARCAS DE PROFUNDIDAD O SISTEMAS QUE GUIEN LA ENTRADA DE FORMA SEGURA.
- CATÉTER GUÍA 
- DILATADOR ESPECIAL PARA LA CÁNULA 
- GELATINA LUBRICANTE ESTÉRIL 
- 4 TORUNDAS 
- CINTA DE SUJECIÓN Y CEPILLO DE LIMPIEZA. 
- ESTÉRIL. 
- EXENTO DE LÁTEX.</MAKTX>
          <QUANTITY>33</QUANTITY>
          <UNIT>unidad</UNIT>
          <REFERENCE/>
          <PACKAGING_UNITS/>
          <TRADEMARK/>
          <NAME/>
          <TECHTEXT> </TECHTEXT>
        </MATERIAL>
      </MATERIALS>
    </BATCH>
    <BATCH>
      <BATCHID>TC12</BATCHID>
      <DESCR>TUB ENDOBRONQUIAL</DESCR>
      <MATERIALS>
        <MATERIAL>
          <MATNR>10015</MATNR>
          <MAKTX>TUBOS ENDOBRONQUIALES PARA INTUBACIÓN SELECTIVA, DEL BRONQUIO IZQUIERDO Y DEL BRONQUIO DERECHO, CON DOS LÚMENES (UNO TRAQUEAL, OTRO BRONQUIAL) DE VENTILACIÓN CON NEUMO DE BAJA PRESIÓN, CON BALÓN DISTAL DE POLIURETANO Y BALÓN TRAQUEAL TRANSPARENTE. TUBO FABRICADO EN PVC O POLIURETANO. CON UN CONECTOR BIFURCADO.
DOS CATÉTERES DE ASPIRACIÓN, DOS CONECTORES SEMIMONTADOS Y UN MANDRIL DE INTUBACIÓN. 
TUBO CON MARCAS DE PROFUNDIDAD CENTIMETRADAS VISIBLES A COMISURA LABIAL. LÍNEA RADIOPACA A LO LARGO DEL TUBO. 
DE UN SOLO USO. ESTÉRIL. SIN LÁTEX.
MEDIDAS, TANTO DEL IZQUIERDO COMO DEL DERECHO, DESDE CH-28 HASTA CH-41</MAKTX>
          <QUANTITY>189</QUANTITY>
          <UNIT>unidad</UNIT>
          <REFERENCE/>
          <PACKAGING_UNITS/>
          <TRADEMARK/>
          <NAME/>
          <TECHTEXT> </TECHTEXT>
        </MATERIAL>
      </MATERIALS>
    </BATCH>
    <BATCH>
      <BATCHID>TC21</BATCHID>
      <DESCR>RASPALL NETEJA TRAQUEO</DESCR>
      <MATERIALS>
        <MATERIAL>
          <MATNR>100001073</MATNR>
          <MAKTX>CEPILLO TIPO ESCOVILLÓN PARA LA LIMPIEZA INTERIOR DE CÁNULA DE TRAQUEOSTOMÍA PARA UNA LIMPIEZA EFICAZ Y SEGURA, SIN DAÑAR LA SUPERFÍCIE INTERNA DE LA CÁNULA NI SU FUNCIONALIDAD. 
PARA CÁNULAS TRAQUEALES CON DIÁMETRO INTERNO DE 4-10 MM. QUE SE ADAPTE A DIFERENTES CALIBRES DE CÁNULA.
SUAVE Y FLEXIBLE, CON MANGO FINO, LARGO, RECTO, CON EL MISMO DIÁMETRO DE DE LA PUNTA HASTA EL FINAL, QUE EL MANGO NO SEA MÁS GRUESO QUE LA PUNTA, HA DE TENER TODO LA MISMA MEDIDA. ERGONÓMICO.
CERDAS DE PLÁSTICO SUAVES.
LONGITUD TOTAL: MÍNIMO 15 CM Y MÁXIMO 20 CM.
</MAKTX>
          <QUANTITY>2.971</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AA7-1FD0-A6BA-0FA5EE7D6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